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44" w:rsidRPr="007752F4" w:rsidRDefault="00734244" w:rsidP="0073424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-466725</wp:posOffset>
            </wp:positionV>
            <wp:extent cx="628650" cy="647700"/>
            <wp:effectExtent l="0" t="0" r="0" b="0"/>
            <wp:wrapNone/>
            <wp:docPr id="2" name="Picture 2" descr="C:\Users\RATIH\AppData\Local\Microsoft\Windows\Temporary Internet Files\Content.Word\logo pem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TIH\AppData\Local\Microsoft\Windows\Temporary Internet Files\Content.Word\logo pemd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244" w:rsidRPr="007752F4" w:rsidRDefault="00734244" w:rsidP="0073424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>PEMERINTAH KABUPATEN KEPULAUAN SELAYAR</w:t>
      </w:r>
    </w:p>
    <w:p w:rsidR="00734244" w:rsidRPr="006F4D1B" w:rsidRDefault="00734244" w:rsidP="0073424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6F4D1B">
        <w:rPr>
          <w:rFonts w:ascii="Times New Roman" w:hAnsi="Times New Roman"/>
          <w:b/>
          <w:sz w:val="28"/>
          <w:szCs w:val="28"/>
        </w:rPr>
        <w:t>KECAMATAN PASILAMBENA</w:t>
      </w:r>
    </w:p>
    <w:p w:rsidR="00734244" w:rsidRPr="007752F4" w:rsidRDefault="00734244" w:rsidP="00734244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752F4">
        <w:rPr>
          <w:rFonts w:ascii="Times New Roman" w:hAnsi="Times New Roman"/>
          <w:b/>
          <w:i/>
          <w:sz w:val="24"/>
          <w:szCs w:val="24"/>
        </w:rPr>
        <w:t>JL.</w:t>
      </w:r>
      <w:proofErr w:type="gramEnd"/>
      <w:r w:rsidRPr="007752F4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7752F4">
        <w:rPr>
          <w:rFonts w:ascii="Times New Roman" w:hAnsi="Times New Roman"/>
          <w:b/>
          <w:i/>
          <w:sz w:val="24"/>
          <w:szCs w:val="24"/>
        </w:rPr>
        <w:t>JEND.</w:t>
      </w:r>
      <w:proofErr w:type="gramEnd"/>
      <w:r w:rsidRPr="007752F4">
        <w:rPr>
          <w:rFonts w:ascii="Times New Roman" w:hAnsi="Times New Roman"/>
          <w:b/>
          <w:i/>
          <w:sz w:val="24"/>
          <w:szCs w:val="24"/>
        </w:rPr>
        <w:t xml:space="preserve"> SUDIRMAN No. 03</w:t>
      </w:r>
      <w:r w:rsidR="009B24FC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spellStart"/>
      <w:r w:rsidRPr="007752F4">
        <w:rPr>
          <w:rFonts w:ascii="Times New Roman" w:hAnsi="Times New Roman"/>
          <w:b/>
          <w:i/>
          <w:sz w:val="24"/>
          <w:szCs w:val="24"/>
        </w:rPr>
        <w:t>Tlp</w:t>
      </w:r>
      <w:proofErr w:type="spellEnd"/>
      <w:r w:rsidRPr="007752F4">
        <w:rPr>
          <w:rFonts w:ascii="Times New Roman" w:hAnsi="Times New Roman"/>
          <w:b/>
          <w:i/>
          <w:sz w:val="24"/>
          <w:szCs w:val="24"/>
        </w:rPr>
        <w:t>. …………………</w:t>
      </w:r>
    </w:p>
    <w:p w:rsidR="00734244" w:rsidRPr="007752F4" w:rsidRDefault="00734244" w:rsidP="00734244">
      <w:pPr>
        <w:pStyle w:val="NoSpacing"/>
        <w:pBdr>
          <w:bottom w:val="thickThinSmallGap" w:sz="2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>L A T O K D</w:t>
      </w:r>
      <w:r w:rsidRPr="007752F4">
        <w:rPr>
          <w:rFonts w:ascii="Times New Roman" w:hAnsi="Times New Roman"/>
          <w:sz w:val="24"/>
          <w:szCs w:val="24"/>
        </w:rPr>
        <w:t xml:space="preserve"> O K</w:t>
      </w:r>
      <w:bookmarkStart w:id="0" w:name="OLE_LINK4"/>
      <w:bookmarkStart w:id="1" w:name="OLE_LINK5"/>
      <w:bookmarkStart w:id="2" w:name="_Hlk219862522"/>
      <w:bookmarkEnd w:id="0"/>
      <w:bookmarkEnd w:id="1"/>
      <w:bookmarkEnd w:id="2"/>
    </w:p>
    <w:p w:rsidR="00734244" w:rsidRPr="007752F4" w:rsidRDefault="00734244" w:rsidP="00734244">
      <w:pPr>
        <w:rPr>
          <w:rFonts w:ascii="Times New Roman" w:hAnsi="Times New Roman"/>
          <w:b/>
          <w:sz w:val="24"/>
          <w:szCs w:val="24"/>
        </w:rPr>
      </w:pP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52F4">
        <w:rPr>
          <w:rFonts w:ascii="Times New Roman" w:hAnsi="Times New Roman"/>
          <w:b/>
          <w:bCs/>
          <w:sz w:val="24"/>
          <w:szCs w:val="24"/>
        </w:rPr>
        <w:t>KEPUTUSAN CAMAT PASILAMBENA</w:t>
      </w: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52F4">
        <w:rPr>
          <w:rFonts w:ascii="Times New Roman" w:hAnsi="Times New Roman"/>
          <w:sz w:val="24"/>
          <w:szCs w:val="24"/>
        </w:rPr>
        <w:t xml:space="preserve">NOMOR </w:t>
      </w:r>
      <w:r w:rsidRPr="000B5DE6">
        <w:rPr>
          <w:rFonts w:ascii="Times New Roman" w:hAnsi="Times New Roman"/>
          <w:sz w:val="24"/>
          <w:szCs w:val="24"/>
        </w:rPr>
        <w:t>:</w:t>
      </w:r>
      <w:proofErr w:type="gramEnd"/>
      <w:r w:rsidRPr="000B5DE6">
        <w:rPr>
          <w:rFonts w:ascii="Times New Roman" w:hAnsi="Times New Roman"/>
          <w:sz w:val="24"/>
          <w:szCs w:val="24"/>
        </w:rPr>
        <w:t xml:space="preserve">  </w:t>
      </w:r>
      <w:r w:rsidR="00B84917">
        <w:rPr>
          <w:rFonts w:ascii="Times New Roman" w:hAnsi="Times New Roman"/>
          <w:sz w:val="24"/>
          <w:szCs w:val="24"/>
        </w:rPr>
        <w:t>06</w:t>
      </w:r>
      <w:r w:rsidRPr="000B5DE6">
        <w:rPr>
          <w:rFonts w:ascii="Times New Roman" w:hAnsi="Times New Roman"/>
          <w:sz w:val="24"/>
          <w:szCs w:val="24"/>
        </w:rPr>
        <w:t xml:space="preserve">  </w:t>
      </w:r>
      <w:r w:rsidRPr="007752F4">
        <w:rPr>
          <w:rFonts w:ascii="Times New Roman" w:hAnsi="Times New Roman"/>
          <w:sz w:val="24"/>
          <w:szCs w:val="24"/>
        </w:rPr>
        <w:t xml:space="preserve">TAHUN </w:t>
      </w:r>
      <w:r w:rsidR="00B84917">
        <w:rPr>
          <w:rFonts w:ascii="Times New Roman" w:hAnsi="Times New Roman"/>
          <w:sz w:val="24"/>
          <w:szCs w:val="24"/>
        </w:rPr>
        <w:t>2022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52F4">
        <w:rPr>
          <w:rFonts w:ascii="Times New Roman" w:hAnsi="Times New Roman"/>
          <w:b/>
          <w:bCs/>
          <w:sz w:val="24"/>
          <w:szCs w:val="24"/>
        </w:rPr>
        <w:t>TENTANG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 xml:space="preserve">PENETAPAN STANDARD OPERATING PROCEDURES </w:t>
      </w:r>
      <w:proofErr w:type="gramStart"/>
      <w:r w:rsidRPr="007752F4">
        <w:rPr>
          <w:rFonts w:ascii="Times New Roman" w:hAnsi="Times New Roman"/>
          <w:b/>
          <w:sz w:val="24"/>
          <w:szCs w:val="24"/>
        </w:rPr>
        <w:t>( SOP</w:t>
      </w:r>
      <w:proofErr w:type="gramEnd"/>
      <w:r w:rsidRPr="007752F4">
        <w:rPr>
          <w:rFonts w:ascii="Times New Roman" w:hAnsi="Times New Roman"/>
          <w:b/>
          <w:sz w:val="24"/>
          <w:szCs w:val="24"/>
        </w:rPr>
        <w:t xml:space="preserve"> ) 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>ADMINISTRASI PEMERINTAHAN</w:t>
      </w: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>DI LINGKUNGAN SKPD KECAMATAN PASILAMBENA</w:t>
      </w: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t>CAMAT PASILAMBENA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insideH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269"/>
        <w:gridCol w:w="7654"/>
      </w:tblGrid>
      <w:tr w:rsidR="00734244" w:rsidRPr="007752F4" w:rsidTr="00196067">
        <w:tc>
          <w:tcPr>
            <w:tcW w:w="2269" w:type="dxa"/>
          </w:tcPr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Menimbang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:</w:t>
            </w: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ind w:firstLine="3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Mengingat :</w:t>
            </w:r>
          </w:p>
        </w:tc>
        <w:tc>
          <w:tcPr>
            <w:tcW w:w="7654" w:type="dxa"/>
          </w:tcPr>
          <w:p w:rsidR="00734244" w:rsidRPr="007752F4" w:rsidRDefault="00734244" w:rsidP="0019606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Bahwa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untuk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meningkatkan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yang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lebih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berdaya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guna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berhasil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guna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bersih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bertanggung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jawab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untuk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lebih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memantapkan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mencapai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visi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misi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SKPD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Pasilambena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serta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rangka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mewujudkan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752F4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good governance;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Bahwa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sesuai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dengan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dinamika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perkembangan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yang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terjacli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perlu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ditetapkan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Standard Operating Procedures </w:t>
            </w:r>
            <w:proofErr w:type="gram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( SOP</w:t>
            </w:r>
            <w:proofErr w:type="gram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)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Administrasi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SKPD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Pasilambena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dengan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Camat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/KEP/M.PAN/7/2003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Umum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Penyelenggaraan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KEP/25/M.PAN/2/2004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Umum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Penyusunan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Indeks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Kepuasan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Masyarakat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Unit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Instansi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;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KEP/26/M.PAN/2/2004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Petunjuk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Teknis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Transparansi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Akuntabilitas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Penyelenggaraan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KEP/26/M.PAN/2/2004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Petunjuk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Teknis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Transparansi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Akuntabilitas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Penyelenggaraan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Undang-Undang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79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2005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Pembinaan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Pengawasan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Penyelenggaraan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Daerah;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PER/20/M.PAN/04/2006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Penyusunan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Standar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38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2007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Pembagian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Urusan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Antara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Daerah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Propinsi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Daerah Kabupaten/Kota;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PER/21/M.PAN/11/2086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Penyusunan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Standar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Operasional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Prosedur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lo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2008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Lembaran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Indonesia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2008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40,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Tambahan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Lembaran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Indonesia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4826)</w:t>
            </w:r>
            <w:r w:rsidRPr="007752F4"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Undang-Undang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25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2009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Lembaran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Indonesia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2009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112,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Tambahan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Lembaran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Republik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Indonesia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5038);</w:t>
            </w: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Bupati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Kepulauan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Selayar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29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2009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Pokok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r:ungsi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Organisasi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Camat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Sekretaris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Camat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Sub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Bagian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Seksi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Pada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Kecamatan Dalam Wilayah Kabupaten Kepulauan Selayar;</w:t>
            </w:r>
          </w:p>
          <w:p w:rsidR="0073424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Negeri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54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2010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8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2008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Tahapan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Tata Cara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Penyusunan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Pengendalian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Evaluasi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Rencana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Pembangunan Daerah;</w:t>
            </w:r>
          </w:p>
          <w:p w:rsidR="0073424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left="6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left="6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left="6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73424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480" w:lineRule="auto"/>
              <w:ind w:left="600" w:hanging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Peraturan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Menteri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Pendayagunaan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Negara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Reformasi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Birokrasi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Nomor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35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Tahun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2012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tentang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Pedoman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Penyusunan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752F4"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S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tandar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Operasional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Prosedur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Administrasi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pStyle w:val="NoSpacing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b/>
          <w:sz w:val="24"/>
          <w:szCs w:val="24"/>
        </w:rPr>
        <w:lastRenderedPageBreak/>
        <w:t>MEMUTUSKAN</w:t>
      </w:r>
    </w:p>
    <w:tbl>
      <w:tblPr>
        <w:tblW w:w="10031" w:type="dxa"/>
        <w:tblBorders>
          <w:insideH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376"/>
        <w:gridCol w:w="7655"/>
      </w:tblGrid>
      <w:tr w:rsidR="00734244" w:rsidRPr="007752F4" w:rsidTr="00196067">
        <w:tc>
          <w:tcPr>
            <w:tcW w:w="2376" w:type="dxa"/>
          </w:tcPr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Menetapkan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: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PERTAMA :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KEDUA :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KETIGA :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C43F49" w:rsidRPr="007752F4" w:rsidRDefault="00C43F49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KEEMPAT :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Menetapkan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Tim Standard Operating Procedures ( SOP )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Administrasi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dilingkungan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SKPD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Pasilambena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dengan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Camat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Menunjuk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Tim Standard Operating Procedures ( SOP )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Administrasi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di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lingkungan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SKPD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Pasilambena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yang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tercantum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pada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diktum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PERTAMA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sebagaiamana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tersebut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Lampiran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Tugas-tugas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Tim Standard Operating Procedures (SOP)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Administrasi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dilingkungan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SKPD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Kecamatan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lambena</w:t>
            </w: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sebagai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berikut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: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left="318" w:hanging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Memberikan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kepastian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keseragaman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proses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penyelenggaraan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left="318" w:hanging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Menunjang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kelancaran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proses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tugas-tugas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kemudahan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pengendalian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left="318" w:hanging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Mempertegas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tanggung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jawab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bagi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untuk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meningkatkan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daya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guna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hasil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guna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secara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berkelanjutan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melaksanakan</w:t>
            </w:r>
            <w:proofErr w:type="spellEnd"/>
            <w:r w:rsidRPr="007752F4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tugas-tugas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umum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left="318" w:hanging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Memberikan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informasi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mengenai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pelaksanaan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tugas-tugas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yang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diberikan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oleh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Aparatur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Pemerintah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secara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proporsiona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l</w:t>
            </w:r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734244" w:rsidRPr="007752F4" w:rsidRDefault="00734244" w:rsidP="0019606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480" w:lineRule="auto"/>
              <w:ind w:left="318" w:hanging="31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Memberikan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kejelasan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transparansi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pada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masyarakat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sebagai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penerima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pelayanan</w:t>
            </w:r>
            <w:proofErr w:type="spellEnd"/>
            <w:proofErr w:type="gram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mengenai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hak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kewajibannya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734244" w:rsidRPr="007752F4" w:rsidRDefault="00734244" w:rsidP="0019606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berlaku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sejak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tanggal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ditetapkan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apabila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dikemudian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hari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terdapat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kesalahan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dalam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keputusan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ini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akan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diadakan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perbaikan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sebagaimana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mestinya</w:t>
            </w:r>
            <w:proofErr w:type="spellEnd"/>
            <w:r w:rsidRPr="007752F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</w:tbl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proofErr w:type="spellStart"/>
      <w:r w:rsidRPr="007752F4">
        <w:rPr>
          <w:rFonts w:ascii="Times New Roman" w:hAnsi="Times New Roman"/>
          <w:sz w:val="24"/>
          <w:szCs w:val="24"/>
        </w:rPr>
        <w:t>Ditetapkan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di</w:t>
      </w:r>
      <w:r w:rsidRPr="007752F4"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Pr="007752F4">
        <w:rPr>
          <w:rFonts w:ascii="Times New Roman" w:hAnsi="Times New Roman"/>
          <w:sz w:val="24"/>
          <w:szCs w:val="24"/>
        </w:rPr>
        <w:t>Latokdok</w:t>
      </w:r>
      <w:proofErr w:type="spellEnd"/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ind w:right="-399"/>
        <w:rPr>
          <w:rFonts w:ascii="Times New Roman" w:hAnsi="Times New Roman"/>
          <w:sz w:val="24"/>
          <w:szCs w:val="24"/>
          <w:lang w:val="id-ID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proofErr w:type="spellStart"/>
      <w:r w:rsidRPr="007752F4">
        <w:rPr>
          <w:rFonts w:ascii="Times New Roman" w:hAnsi="Times New Roman"/>
          <w:sz w:val="24"/>
          <w:szCs w:val="24"/>
        </w:rPr>
        <w:t>Pada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tanggal</w:t>
      </w:r>
      <w:proofErr w:type="spellEnd"/>
      <w:r w:rsidRPr="007752F4">
        <w:rPr>
          <w:rFonts w:ascii="Times New Roman" w:hAnsi="Times New Roman"/>
          <w:sz w:val="24"/>
          <w:szCs w:val="24"/>
        </w:rPr>
        <w:tab/>
        <w:t xml:space="preserve">: </w:t>
      </w:r>
      <w:r w:rsidR="00CC6920">
        <w:rPr>
          <w:rFonts w:ascii="Times New Roman" w:hAnsi="Times New Roman"/>
          <w:sz w:val="24"/>
          <w:szCs w:val="24"/>
        </w:rPr>
        <w:t xml:space="preserve">   </w:t>
      </w:r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A04">
        <w:rPr>
          <w:rFonts w:ascii="Times New Roman" w:hAnsi="Times New Roman"/>
          <w:sz w:val="24"/>
          <w:szCs w:val="24"/>
        </w:rPr>
        <w:t>Februari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r w:rsidR="00B84917">
        <w:rPr>
          <w:rFonts w:ascii="Times New Roman" w:hAnsi="Times New Roman"/>
          <w:sz w:val="24"/>
          <w:szCs w:val="24"/>
        </w:rPr>
        <w:t>2022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ind w:right="-399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ind w:right="-399"/>
        <w:rPr>
          <w:rFonts w:ascii="Times New Roman" w:hAnsi="Times New Roman"/>
          <w:b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b/>
          <w:sz w:val="24"/>
          <w:szCs w:val="24"/>
        </w:rPr>
        <w:t>CAMAT PASILAMBENA,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="009C3A04">
        <w:rPr>
          <w:rFonts w:ascii="Times New Roman" w:hAnsi="Times New Roman"/>
          <w:b/>
          <w:sz w:val="24"/>
          <w:szCs w:val="24"/>
          <w:u w:val="single"/>
        </w:rPr>
        <w:t>PATTA BAU</w:t>
      </w:r>
      <w:r w:rsidRPr="007752F4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7752F4">
        <w:rPr>
          <w:rFonts w:ascii="Times New Roman" w:hAnsi="Times New Roman"/>
          <w:b/>
          <w:sz w:val="24"/>
          <w:szCs w:val="24"/>
          <w:u w:val="single"/>
        </w:rPr>
        <w:t>S.Sos</w:t>
      </w:r>
      <w:proofErr w:type="spellEnd"/>
      <w:r w:rsidR="009C3A04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="009C3A04">
        <w:rPr>
          <w:rFonts w:ascii="Times New Roman" w:hAnsi="Times New Roman"/>
          <w:b/>
          <w:sz w:val="24"/>
          <w:szCs w:val="24"/>
          <w:u w:val="single"/>
        </w:rPr>
        <w:t>M.Si</w:t>
      </w:r>
      <w:proofErr w:type="spellEnd"/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proofErr w:type="spellStart"/>
      <w:r w:rsidRPr="007752F4">
        <w:rPr>
          <w:rFonts w:ascii="Times New Roman" w:hAnsi="Times New Roman"/>
          <w:sz w:val="24"/>
          <w:szCs w:val="24"/>
        </w:rPr>
        <w:t>Pangkat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: </w:t>
      </w:r>
      <w:r w:rsidR="00B36382">
        <w:rPr>
          <w:rFonts w:ascii="Times New Roman" w:hAnsi="Times New Roman"/>
          <w:sz w:val="24"/>
          <w:szCs w:val="24"/>
        </w:rPr>
        <w:t>Pembina IV/a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</w:r>
      <w:r w:rsidRPr="007752F4">
        <w:rPr>
          <w:rFonts w:ascii="Times New Roman" w:hAnsi="Times New Roman"/>
          <w:sz w:val="24"/>
          <w:szCs w:val="24"/>
        </w:rPr>
        <w:tab/>
        <w:t xml:space="preserve">NIP. </w:t>
      </w:r>
      <w:r w:rsidR="009C3A04">
        <w:rPr>
          <w:rFonts w:ascii="Times New Roman" w:hAnsi="Times New Roman"/>
          <w:sz w:val="24"/>
          <w:szCs w:val="24"/>
        </w:rPr>
        <w:t>19760611 200502 1 010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proofErr w:type="spellStart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>Salinan</w:t>
      </w:r>
      <w:proofErr w:type="spellEnd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>Keputusan</w:t>
      </w:r>
      <w:proofErr w:type="spellEnd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>ini</w:t>
      </w:r>
      <w:proofErr w:type="spellEnd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>disampaikan</w:t>
      </w:r>
      <w:proofErr w:type="spellEnd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gramStart"/>
      <w:r w:rsidRPr="007752F4">
        <w:rPr>
          <w:rFonts w:ascii="Times New Roman" w:hAnsi="Times New Roman"/>
          <w:i/>
          <w:iCs/>
          <w:sz w:val="24"/>
          <w:szCs w:val="24"/>
          <w:u w:val="single"/>
        </w:rPr>
        <w:t>kepada :</w:t>
      </w:r>
      <w:proofErr w:type="gramEnd"/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>1.</w:t>
      </w:r>
      <w:r w:rsidRPr="007752F4">
        <w:rPr>
          <w:rFonts w:ascii="Times New Roman" w:hAnsi="Times New Roman"/>
          <w:sz w:val="24"/>
          <w:szCs w:val="24"/>
        </w:rPr>
        <w:tab/>
        <w:t>Bupati Kepulauan Selayar di Benteng</w:t>
      </w:r>
    </w:p>
    <w:p w:rsidR="00734244" w:rsidRPr="007752F4" w:rsidRDefault="00734244" w:rsidP="007342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>2.</w:t>
      </w:r>
      <w:r w:rsidRPr="007752F4">
        <w:rPr>
          <w:rFonts w:ascii="Times New Roman" w:hAnsi="Times New Roman"/>
          <w:sz w:val="24"/>
          <w:szCs w:val="24"/>
        </w:rPr>
        <w:tab/>
      </w:r>
      <w:proofErr w:type="spellStart"/>
      <w:r w:rsidRPr="007752F4">
        <w:rPr>
          <w:rFonts w:ascii="Times New Roman" w:hAnsi="Times New Roman"/>
          <w:sz w:val="24"/>
          <w:szCs w:val="24"/>
        </w:rPr>
        <w:t>Kepala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Bagian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Organisasi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Sekretaris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Daerah di Benteng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4">
        <w:rPr>
          <w:rFonts w:ascii="Times New Roman" w:hAnsi="Times New Roman"/>
          <w:sz w:val="24"/>
          <w:szCs w:val="24"/>
        </w:rPr>
        <w:t xml:space="preserve">3.   Tim </w:t>
      </w:r>
      <w:proofErr w:type="spellStart"/>
      <w:r w:rsidRPr="007752F4">
        <w:rPr>
          <w:rFonts w:ascii="Times New Roman" w:hAnsi="Times New Roman"/>
          <w:sz w:val="24"/>
          <w:szCs w:val="24"/>
        </w:rPr>
        <w:t>Standar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Operasional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2F4">
        <w:rPr>
          <w:rFonts w:ascii="Times New Roman" w:hAnsi="Times New Roman"/>
          <w:sz w:val="24"/>
          <w:szCs w:val="24"/>
        </w:rPr>
        <w:t>Pelayanan</w:t>
      </w:r>
      <w:proofErr w:type="spellEnd"/>
      <w:r w:rsidRPr="007752F4">
        <w:rPr>
          <w:rFonts w:ascii="Times New Roman" w:hAnsi="Times New Roman"/>
          <w:sz w:val="24"/>
          <w:szCs w:val="24"/>
        </w:rPr>
        <w:t xml:space="preserve"> (SOP) yang dimaksud</w:t>
      </w: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4244" w:rsidRPr="007752F4" w:rsidRDefault="00734244" w:rsidP="00734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34244" w:rsidRPr="007752F4" w:rsidSect="0073424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3DBE"/>
    <w:multiLevelType w:val="hybridMultilevel"/>
    <w:tmpl w:val="D130B2CA"/>
    <w:lvl w:ilvl="0" w:tplc="0421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">
    <w:nsid w:val="2BF74DC1"/>
    <w:multiLevelType w:val="hybridMultilevel"/>
    <w:tmpl w:val="BC4A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9C1D46"/>
    <w:multiLevelType w:val="hybridMultilevel"/>
    <w:tmpl w:val="942AB7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5D70E6"/>
    <w:multiLevelType w:val="hybridMultilevel"/>
    <w:tmpl w:val="3C4C9072"/>
    <w:lvl w:ilvl="0" w:tplc="B5202692">
      <w:start w:val="1"/>
      <w:numFmt w:val="upperLetter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44"/>
    <w:rsid w:val="000B561D"/>
    <w:rsid w:val="000B5DE6"/>
    <w:rsid w:val="00426AEC"/>
    <w:rsid w:val="00734244"/>
    <w:rsid w:val="007346C3"/>
    <w:rsid w:val="009B24FC"/>
    <w:rsid w:val="009C3A04"/>
    <w:rsid w:val="00A31E75"/>
    <w:rsid w:val="00B36382"/>
    <w:rsid w:val="00B84917"/>
    <w:rsid w:val="00C43F49"/>
    <w:rsid w:val="00CC6920"/>
    <w:rsid w:val="00D7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24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4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342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24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24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4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342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2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spoty</dc:creator>
  <cp:lastModifiedBy>Irwan Nawir</cp:lastModifiedBy>
  <cp:revision>16</cp:revision>
  <cp:lastPrinted>2019-02-19T07:43:00Z</cp:lastPrinted>
  <dcterms:created xsi:type="dcterms:W3CDTF">2018-04-16T02:04:00Z</dcterms:created>
  <dcterms:modified xsi:type="dcterms:W3CDTF">2022-06-14T13:21:00Z</dcterms:modified>
</cp:coreProperties>
</file>